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24" w:rsidRDefault="00C43698" w:rsidP="00D918CD">
      <w:pPr>
        <w:jc w:val="center"/>
        <w:rPr>
          <w:b/>
          <w:sz w:val="32"/>
        </w:rPr>
      </w:pPr>
      <w:r>
        <w:rPr>
          <w:b/>
          <w:sz w:val="32"/>
        </w:rPr>
        <w:t>PHYS 633</w:t>
      </w:r>
      <w:r w:rsidR="00864D24">
        <w:rPr>
          <w:b/>
          <w:sz w:val="32"/>
        </w:rPr>
        <w:t xml:space="preserve">: </w:t>
      </w:r>
      <w:r>
        <w:rPr>
          <w:b/>
          <w:sz w:val="32"/>
        </w:rPr>
        <w:t xml:space="preserve">Elementary </w:t>
      </w:r>
      <w:r w:rsidR="002B689C">
        <w:rPr>
          <w:b/>
          <w:sz w:val="32"/>
        </w:rPr>
        <w:t>Particle Physics</w:t>
      </w:r>
      <w:r w:rsidR="00864D24">
        <w:rPr>
          <w:b/>
          <w:sz w:val="32"/>
        </w:rPr>
        <w:t xml:space="preserve">        </w:t>
      </w:r>
      <w:r w:rsidR="00E2635E">
        <w:rPr>
          <w:b/>
          <w:sz w:val="32"/>
        </w:rPr>
        <w:t xml:space="preserve">           </w:t>
      </w:r>
      <w:r w:rsidR="004947FB">
        <w:rPr>
          <w:b/>
          <w:sz w:val="32"/>
        </w:rPr>
        <w:t>Spring 2012</w:t>
      </w:r>
      <w:r w:rsidR="00864D24">
        <w:rPr>
          <w:b/>
          <w:sz w:val="32"/>
        </w:rPr>
        <w:t xml:space="preserve">  </w:t>
      </w:r>
    </w:p>
    <w:p w:rsidR="00864D24" w:rsidRDefault="00864D24" w:rsidP="00D918CD">
      <w:pPr>
        <w:jc w:val="center"/>
        <w:rPr>
          <w:b/>
          <w:sz w:val="32"/>
        </w:rPr>
      </w:pPr>
    </w:p>
    <w:p w:rsidR="00D918CD" w:rsidRDefault="004947FB" w:rsidP="00D918CD">
      <w:pPr>
        <w:jc w:val="center"/>
        <w:rPr>
          <w:b/>
          <w:sz w:val="32"/>
        </w:rPr>
      </w:pPr>
      <w:r>
        <w:rPr>
          <w:b/>
          <w:sz w:val="32"/>
        </w:rPr>
        <w:t>Homework #</w:t>
      </w:r>
      <w:proofErr w:type="gramStart"/>
      <w:r>
        <w:rPr>
          <w:b/>
          <w:sz w:val="32"/>
        </w:rPr>
        <w:t>4</w:t>
      </w:r>
      <w:r w:rsidR="00155292">
        <w:rPr>
          <w:b/>
          <w:sz w:val="32"/>
        </w:rPr>
        <w:t xml:space="preserve">               </w:t>
      </w:r>
      <w:r w:rsidR="00864D24">
        <w:rPr>
          <w:b/>
          <w:sz w:val="32"/>
        </w:rPr>
        <w:t xml:space="preserve"> </w:t>
      </w:r>
      <w:r w:rsidR="00521C58">
        <w:rPr>
          <w:b/>
          <w:sz w:val="32"/>
        </w:rPr>
        <w:t xml:space="preserve">                 </w:t>
      </w:r>
      <w:r w:rsidR="00864D24">
        <w:rPr>
          <w:b/>
          <w:sz w:val="32"/>
        </w:rPr>
        <w:t xml:space="preserve">                  </w:t>
      </w:r>
      <w:bookmarkStart w:id="0" w:name="_GoBack"/>
      <w:bookmarkEnd w:id="0"/>
      <w:r>
        <w:rPr>
          <w:b/>
          <w:sz w:val="32"/>
        </w:rPr>
        <w:t>Due Date</w:t>
      </w:r>
      <w:proofErr w:type="gramEnd"/>
      <w:r>
        <w:rPr>
          <w:b/>
          <w:sz w:val="32"/>
        </w:rPr>
        <w:t>: 10/30/12</w:t>
      </w:r>
    </w:p>
    <w:p w:rsidR="00D918CD" w:rsidRDefault="004947FB" w:rsidP="00D918CD">
      <w:pPr>
        <w:jc w:val="center"/>
        <w:rPr>
          <w:b/>
          <w:sz w:val="32"/>
        </w:rPr>
      </w:pPr>
      <w:r>
        <w:rPr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1.35pt" o:hrpct="0" o:hralign="center" o:hr="t">
            <v:imagedata r:id="rId6" o:title="BD10219_"/>
          </v:shape>
        </w:pict>
      </w:r>
    </w:p>
    <w:p w:rsidR="001E5DE3" w:rsidRDefault="001E5DE3" w:rsidP="0099164C">
      <w:pPr>
        <w:ind w:left="360"/>
        <w:rPr>
          <w:sz w:val="28"/>
        </w:rPr>
      </w:pPr>
    </w:p>
    <w:p w:rsidR="00C300C1" w:rsidRDefault="00C300C1" w:rsidP="00C300C1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In the center-of-mass frame for the process </w:t>
      </w:r>
      <w:r w:rsidRPr="00FD5B66">
        <w:rPr>
          <w:position w:val="-6"/>
          <w:sz w:val="28"/>
        </w:rPr>
        <w:object w:dxaOrig="1080" w:dyaOrig="279">
          <v:shape id="_x0000_i1045" type="#_x0000_t75" style="width:54pt;height:14.25pt" o:ole="">
            <v:imagedata r:id="rId7" o:title=""/>
          </v:shape>
          <o:OLEObject Type="Embed" ProgID="Equation.3" ShapeID="_x0000_i1045" DrawAspect="Content" ObjectID="_1411555166" r:id="rId8"/>
        </w:object>
      </w:r>
      <w:r>
        <w:rPr>
          <w:sz w:val="28"/>
        </w:rPr>
        <w:t>, show that</w:t>
      </w:r>
    </w:p>
    <w:p w:rsidR="00C300C1" w:rsidRDefault="00C300C1" w:rsidP="00C300C1">
      <w:pPr>
        <w:ind w:left="360"/>
        <w:jc w:val="center"/>
        <w:rPr>
          <w:sz w:val="28"/>
        </w:rPr>
      </w:pPr>
      <w:r w:rsidRPr="001E5DE3">
        <w:rPr>
          <w:position w:val="-50"/>
          <w:sz w:val="28"/>
        </w:rPr>
        <w:object w:dxaOrig="1860" w:dyaOrig="1120">
          <v:shape id="_x0000_i1046" type="#_x0000_t75" style="width:93pt;height:56.25pt" o:ole="">
            <v:imagedata r:id="rId9" o:title=""/>
          </v:shape>
          <o:OLEObject Type="Embed" ProgID="Equation.3" ShapeID="_x0000_i1046" DrawAspect="Content" ObjectID="_1411555167" r:id="rId10"/>
        </w:object>
      </w:r>
    </w:p>
    <w:p w:rsidR="00C300C1" w:rsidRDefault="00C300C1" w:rsidP="00C300C1">
      <w:pPr>
        <w:ind w:left="360"/>
        <w:rPr>
          <w:sz w:val="28"/>
        </w:rPr>
      </w:pPr>
      <w:r>
        <w:rPr>
          <w:sz w:val="28"/>
        </w:rPr>
        <w:t>And hence that the differential cross section is</w:t>
      </w:r>
    </w:p>
    <w:p w:rsidR="00C300C1" w:rsidRDefault="00C300C1" w:rsidP="00C300C1">
      <w:pPr>
        <w:ind w:left="360"/>
        <w:jc w:val="center"/>
        <w:rPr>
          <w:sz w:val="28"/>
        </w:rPr>
      </w:pPr>
      <w:r w:rsidRPr="001E5DE3">
        <w:rPr>
          <w:position w:val="-32"/>
          <w:sz w:val="28"/>
        </w:rPr>
        <w:object w:dxaOrig="2460" w:dyaOrig="760">
          <v:shape id="_x0000_i1047" type="#_x0000_t75" style="width:123pt;height:38.25pt" o:ole="">
            <v:imagedata r:id="rId11" o:title=""/>
          </v:shape>
          <o:OLEObject Type="Embed" ProgID="Equation.3" ShapeID="_x0000_i1047" DrawAspect="Content" ObjectID="_1411555168" r:id="rId12"/>
        </w:object>
      </w:r>
    </w:p>
    <w:p w:rsidR="00C300C1" w:rsidRDefault="00C300C1" w:rsidP="00C300C1">
      <w:pPr>
        <w:ind w:left="720"/>
        <w:rPr>
          <w:sz w:val="28"/>
        </w:rPr>
      </w:pPr>
    </w:p>
    <w:p w:rsidR="00C300C1" w:rsidRDefault="00C300C1" w:rsidP="00C300C1">
      <w:pPr>
        <w:numPr>
          <w:ilvl w:val="0"/>
          <w:numId w:val="3"/>
        </w:numPr>
        <w:rPr>
          <w:sz w:val="28"/>
        </w:rPr>
      </w:pPr>
      <w:r>
        <w:rPr>
          <w:sz w:val="28"/>
        </w:rPr>
        <w:t>Show that for very high-energy “</w:t>
      </w:r>
      <w:proofErr w:type="spellStart"/>
      <w:r>
        <w:rPr>
          <w:sz w:val="28"/>
        </w:rPr>
        <w:t>spinless</w:t>
      </w:r>
      <w:proofErr w:type="spellEnd"/>
      <w:r>
        <w:rPr>
          <w:sz w:val="28"/>
        </w:rPr>
        <w:t>” electron-muon scattering,</w:t>
      </w:r>
    </w:p>
    <w:p w:rsidR="00C300C1" w:rsidRPr="00FD5B66" w:rsidRDefault="00C300C1" w:rsidP="00C300C1">
      <w:pPr>
        <w:ind w:left="360"/>
        <w:jc w:val="center"/>
        <w:rPr>
          <w:sz w:val="28"/>
        </w:rPr>
      </w:pPr>
      <w:r w:rsidRPr="00FD5B66">
        <w:rPr>
          <w:position w:val="-30"/>
          <w:sz w:val="28"/>
        </w:rPr>
        <w:object w:dxaOrig="2380" w:dyaOrig="760">
          <v:shape id="_x0000_i1048" type="#_x0000_t75" style="width:119.25pt;height:38.25pt" o:ole="">
            <v:imagedata r:id="rId13" o:title=""/>
          </v:shape>
          <o:OLEObject Type="Embed" ProgID="Equation.3" ShapeID="_x0000_i1048" DrawAspect="Content" ObjectID="_1411555169" r:id="rId14"/>
        </w:object>
      </w:r>
    </w:p>
    <w:p w:rsidR="00C300C1" w:rsidRDefault="00C300C1" w:rsidP="00C300C1">
      <w:pPr>
        <w:ind w:left="360"/>
        <w:rPr>
          <w:sz w:val="28"/>
        </w:rPr>
      </w:pPr>
      <w:r>
        <w:rPr>
          <w:sz w:val="28"/>
        </w:rPr>
        <w:t xml:space="preserve">Where </w:t>
      </w:r>
      <w:r w:rsidRPr="009B6FBE">
        <w:rPr>
          <w:i/>
          <w:sz w:val="28"/>
        </w:rPr>
        <w:t>θ</w:t>
      </w:r>
      <w:r>
        <w:rPr>
          <w:sz w:val="28"/>
        </w:rPr>
        <w:t xml:space="preserve"> is the scattering angle and </w:t>
      </w:r>
      <w:r>
        <w:rPr>
          <w:i/>
          <w:sz w:val="28"/>
        </w:rPr>
        <w:t>α=e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/4π</w:t>
      </w:r>
      <w:r>
        <w:rPr>
          <w:sz w:val="28"/>
        </w:rPr>
        <w:t xml:space="preserve">.  Neglect the particle masses. </w:t>
      </w:r>
    </w:p>
    <w:p w:rsidR="00C300C1" w:rsidRDefault="00C300C1" w:rsidP="00C300C1">
      <w:pPr>
        <w:ind w:left="720"/>
        <w:rPr>
          <w:sz w:val="28"/>
        </w:rPr>
      </w:pPr>
    </w:p>
    <w:p w:rsidR="00841A2C" w:rsidRDefault="00841A2C" w:rsidP="00841A2C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Show that in the reaction </w:t>
      </w:r>
      <w:r w:rsidRPr="0017355F">
        <w:rPr>
          <w:position w:val="-6"/>
          <w:sz w:val="28"/>
        </w:rPr>
        <w:object w:dxaOrig="1520" w:dyaOrig="279">
          <v:shape id="_x0000_i1026" type="#_x0000_t75" style="width:75.75pt;height:14.25pt" o:ole="">
            <v:imagedata r:id="rId15" o:title=""/>
          </v:shape>
          <o:OLEObject Type="Embed" ProgID="Equation.3" ShapeID="_x0000_i1026" DrawAspect="Content" ObjectID="_1411555170" r:id="rId16"/>
        </w:object>
      </w:r>
      <w:r>
        <w:rPr>
          <w:sz w:val="28"/>
        </w:rPr>
        <w:t xml:space="preserve">, </w:t>
      </w:r>
    </w:p>
    <w:p w:rsidR="00841A2C" w:rsidRDefault="00841A2C" w:rsidP="00841A2C">
      <w:pPr>
        <w:ind w:left="1080"/>
        <w:rPr>
          <w:sz w:val="28"/>
        </w:rPr>
      </w:pPr>
      <w:r w:rsidRPr="00841A2C">
        <w:rPr>
          <w:position w:val="-12"/>
          <w:sz w:val="28"/>
        </w:rPr>
        <w:object w:dxaOrig="2860" w:dyaOrig="380">
          <v:shape id="_x0000_i1027" type="#_x0000_t75" style="width:143.25pt;height:18.75pt" o:ole="">
            <v:imagedata r:id="rId17" o:title=""/>
          </v:shape>
          <o:OLEObject Type="Embed" ProgID="Equation.3" ShapeID="_x0000_i1027" DrawAspect="Content" ObjectID="_1411555171" r:id="rId18"/>
        </w:object>
      </w:r>
      <w:r>
        <w:rPr>
          <w:sz w:val="28"/>
        </w:rPr>
        <w:t xml:space="preserve">                                                                    </w:t>
      </w:r>
    </w:p>
    <w:p w:rsidR="00841A2C" w:rsidRDefault="00841A2C" w:rsidP="00841A2C">
      <w:pPr>
        <w:ind w:left="720"/>
        <w:rPr>
          <w:sz w:val="28"/>
        </w:rPr>
      </w:pPr>
    </w:p>
    <w:p w:rsidR="00841A2C" w:rsidRDefault="00841A2C" w:rsidP="00841A2C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Taking </w:t>
      </w:r>
      <w:r w:rsidRPr="0017355F">
        <w:rPr>
          <w:position w:val="-6"/>
          <w:sz w:val="28"/>
        </w:rPr>
        <w:object w:dxaOrig="1240" w:dyaOrig="320">
          <v:shape id="_x0000_i1028" type="#_x0000_t75" style="width:62.25pt;height:15.75pt" o:ole="">
            <v:imagedata r:id="rId19" o:title=""/>
          </v:shape>
          <o:OLEObject Type="Embed" ProgID="Equation.3" ShapeID="_x0000_i1028" DrawAspect="Content" ObjectID="_1411555172" r:id="rId20"/>
        </w:object>
      </w:r>
      <w:r>
        <w:rPr>
          <w:sz w:val="28"/>
        </w:rPr>
        <w:t xml:space="preserve"> to be the </w:t>
      </w:r>
      <w:r w:rsidRPr="0017355F">
        <w:rPr>
          <w:i/>
          <w:sz w:val="28"/>
        </w:rPr>
        <w:t>s</w:t>
      </w:r>
      <w:r>
        <w:rPr>
          <w:sz w:val="28"/>
        </w:rPr>
        <w:t xml:space="preserve"> channel process, verify that</w:t>
      </w:r>
    </w:p>
    <w:p w:rsidR="00841A2C" w:rsidRDefault="00841A2C" w:rsidP="00841A2C">
      <w:pPr>
        <w:ind w:left="1080"/>
        <w:rPr>
          <w:sz w:val="28"/>
        </w:rPr>
      </w:pPr>
      <w:r w:rsidRPr="001E5DE3">
        <w:rPr>
          <w:position w:val="-50"/>
          <w:sz w:val="28"/>
        </w:rPr>
        <w:object w:dxaOrig="1860" w:dyaOrig="1160">
          <v:shape id="_x0000_i1029" type="#_x0000_t75" style="width:93pt;height:57.75pt" o:ole="">
            <v:imagedata r:id="rId21" o:title=""/>
          </v:shape>
          <o:OLEObject Type="Embed" ProgID="Equation.3" ShapeID="_x0000_i1029" DrawAspect="Content" ObjectID="_1411555173" r:id="rId22"/>
        </w:object>
      </w:r>
      <w:r>
        <w:rPr>
          <w:sz w:val="28"/>
        </w:rPr>
        <w:t xml:space="preserve">                                                                    </w:t>
      </w:r>
    </w:p>
    <w:p w:rsidR="00841A2C" w:rsidRDefault="00841A2C" w:rsidP="00E2635E">
      <w:pPr>
        <w:ind w:left="720"/>
        <w:rPr>
          <w:sz w:val="28"/>
        </w:rPr>
      </w:pPr>
      <w:r>
        <w:rPr>
          <w:sz w:val="28"/>
        </w:rPr>
        <w:t xml:space="preserve">Where </w:t>
      </w:r>
      <w:r>
        <w:rPr>
          <w:i/>
          <w:sz w:val="28"/>
        </w:rPr>
        <w:t>θ</w:t>
      </w:r>
      <w:r>
        <w:rPr>
          <w:sz w:val="28"/>
        </w:rPr>
        <w:t xml:space="preserve"> is the center-of-mass scattering angle </w:t>
      </w:r>
      <w:proofErr w:type="gramStart"/>
      <w:r>
        <w:rPr>
          <w:sz w:val="28"/>
        </w:rPr>
        <w:t xml:space="preserve">and </w:t>
      </w:r>
      <w:proofErr w:type="gramEnd"/>
      <w:r w:rsidRPr="009B6FBE">
        <w:rPr>
          <w:position w:val="-16"/>
          <w:sz w:val="28"/>
        </w:rPr>
        <w:object w:dxaOrig="1320" w:dyaOrig="440">
          <v:shape id="_x0000_i1030" type="#_x0000_t75" style="width:66pt;height:21.75pt" o:ole="">
            <v:imagedata r:id="rId23" o:title=""/>
          </v:shape>
          <o:OLEObject Type="Embed" ProgID="Equation.3" ShapeID="_x0000_i1030" DrawAspect="Content" ObjectID="_1411555174" r:id="rId24"/>
        </w:object>
      </w:r>
      <w:r>
        <w:rPr>
          <w:sz w:val="28"/>
        </w:rPr>
        <w:t xml:space="preserve">, where </w:t>
      </w:r>
      <w:r w:rsidRPr="009B6FBE">
        <w:rPr>
          <w:position w:val="-12"/>
          <w:sz w:val="28"/>
        </w:rPr>
        <w:object w:dxaOrig="279" w:dyaOrig="360">
          <v:shape id="_x0000_i1031" type="#_x0000_t75" style="width:14.25pt;height:18pt" o:ole="">
            <v:imagedata r:id="rId25" o:title=""/>
          </v:shape>
          <o:OLEObject Type="Embed" ProgID="Equation.3" ShapeID="_x0000_i1031" DrawAspect="Content" ObjectID="_1411555175" r:id="rId26"/>
        </w:object>
      </w:r>
      <w:r>
        <w:rPr>
          <w:sz w:val="28"/>
        </w:rPr>
        <w:t xml:space="preserve"> and </w:t>
      </w:r>
      <w:r w:rsidRPr="009B6FBE">
        <w:rPr>
          <w:position w:val="-14"/>
          <w:sz w:val="28"/>
        </w:rPr>
        <w:object w:dxaOrig="340" w:dyaOrig="380">
          <v:shape id="_x0000_i1032" type="#_x0000_t75" style="width:17.25pt;height:18.75pt" o:ole="">
            <v:imagedata r:id="rId27" o:title=""/>
          </v:shape>
          <o:OLEObject Type="Embed" ProgID="Equation.3" ShapeID="_x0000_i1032" DrawAspect="Content" ObjectID="_1411555176" r:id="rId28"/>
        </w:object>
      </w:r>
      <w:r>
        <w:rPr>
          <w:sz w:val="28"/>
        </w:rPr>
        <w:t xml:space="preserve">are, respectively, the momenta of the incident and scattered electrons in the center-of-mass frame.  Show that the process is physically allowed </w:t>
      </w:r>
      <w:proofErr w:type="gramStart"/>
      <w:r>
        <w:rPr>
          <w:sz w:val="28"/>
        </w:rPr>
        <w:t xml:space="preserve">provided </w:t>
      </w:r>
      <w:proofErr w:type="gramEnd"/>
      <w:r w:rsidRPr="001E5DE3">
        <w:rPr>
          <w:position w:val="-10"/>
          <w:sz w:val="28"/>
        </w:rPr>
        <w:object w:dxaOrig="1960" w:dyaOrig="360">
          <v:shape id="_x0000_i1033" type="#_x0000_t75" style="width:98.25pt;height:18pt" o:ole="">
            <v:imagedata r:id="rId29" o:title=""/>
          </v:shape>
          <o:OLEObject Type="Embed" ProgID="Equation.3" ShapeID="_x0000_i1033" DrawAspect="Content" ObjectID="_1411555177" r:id="rId30"/>
        </w:object>
      </w:r>
      <w:r>
        <w:rPr>
          <w:sz w:val="28"/>
        </w:rPr>
        <w:t xml:space="preserve">. The physical region is shown shaded in the figure drawn in class.  </w:t>
      </w:r>
      <w:proofErr w:type="gramStart"/>
      <w:r>
        <w:rPr>
          <w:sz w:val="28"/>
        </w:rPr>
        <w:t xml:space="preserve">Note that </w:t>
      </w:r>
      <w:r w:rsidRPr="001E5DE3">
        <w:rPr>
          <w:position w:val="-10"/>
          <w:sz w:val="28"/>
        </w:rPr>
        <w:object w:dxaOrig="1180" w:dyaOrig="320">
          <v:shape id="_x0000_i1034" type="#_x0000_t75" style="width:59.25pt;height:15.75pt" o:ole="">
            <v:imagedata r:id="rId31" o:title=""/>
          </v:shape>
          <o:OLEObject Type="Embed" ProgID="Equation.3" ShapeID="_x0000_i1034" DrawAspect="Content" ObjectID="_1411555178" r:id="rId32"/>
        </w:object>
      </w:r>
      <w:r>
        <w:rPr>
          <w:sz w:val="28"/>
        </w:rPr>
        <w:t xml:space="preserve"> correspond to forward (backward) scattering.</w:t>
      </w:r>
      <w:proofErr w:type="gramEnd"/>
    </w:p>
    <w:p w:rsidR="00841A2C" w:rsidRDefault="00841A2C" w:rsidP="00841A2C">
      <w:pPr>
        <w:ind w:left="720"/>
        <w:rPr>
          <w:sz w:val="28"/>
        </w:rPr>
      </w:pPr>
    </w:p>
    <w:p w:rsidR="00841A2C" w:rsidRDefault="00841A2C" w:rsidP="00841A2C">
      <w:pPr>
        <w:numPr>
          <w:ilvl w:val="0"/>
          <w:numId w:val="3"/>
        </w:numPr>
        <w:rPr>
          <w:sz w:val="28"/>
        </w:rPr>
      </w:pPr>
      <w:r>
        <w:rPr>
          <w:sz w:val="28"/>
        </w:rPr>
        <w:t>Show that the invariant amplitude for “</w:t>
      </w:r>
      <w:proofErr w:type="spellStart"/>
      <w:r>
        <w:rPr>
          <w:sz w:val="28"/>
        </w:rPr>
        <w:t>spinless</w:t>
      </w:r>
      <w:proofErr w:type="spellEnd"/>
      <w:r>
        <w:rPr>
          <w:sz w:val="28"/>
        </w:rPr>
        <w:t>” electron-electron scattering,</w:t>
      </w:r>
    </w:p>
    <w:p w:rsidR="00841A2C" w:rsidRDefault="00841A2C" w:rsidP="00841A2C">
      <w:pPr>
        <w:ind w:left="1080"/>
        <w:rPr>
          <w:sz w:val="28"/>
        </w:rPr>
      </w:pPr>
      <w:r w:rsidRPr="00E51143">
        <w:rPr>
          <w:position w:val="-38"/>
          <w:sz w:val="28"/>
        </w:rPr>
        <w:object w:dxaOrig="6940" w:dyaOrig="880">
          <v:shape id="_x0000_i1035" type="#_x0000_t75" style="width:347.25pt;height:44.25pt" o:ole="">
            <v:imagedata r:id="rId33" o:title=""/>
          </v:shape>
          <o:OLEObject Type="Embed" ProgID="Equation.3" ShapeID="_x0000_i1035" DrawAspect="Content" ObjectID="_1411555179" r:id="rId34"/>
        </w:object>
      </w:r>
      <w:r>
        <w:rPr>
          <w:sz w:val="28"/>
        </w:rPr>
        <w:t xml:space="preserve">,                                                                 </w:t>
      </w:r>
    </w:p>
    <w:p w:rsidR="00841A2C" w:rsidRDefault="00841A2C" w:rsidP="00E2635E">
      <w:pPr>
        <w:ind w:left="360" w:firstLine="360"/>
        <w:rPr>
          <w:sz w:val="28"/>
        </w:rPr>
      </w:pPr>
      <w:proofErr w:type="gramStart"/>
      <w:r>
        <w:rPr>
          <w:sz w:val="28"/>
        </w:rPr>
        <w:lastRenderedPageBreak/>
        <w:t>can</w:t>
      </w:r>
      <w:proofErr w:type="gramEnd"/>
      <w:r>
        <w:rPr>
          <w:sz w:val="28"/>
        </w:rPr>
        <w:t xml:space="preserve"> be written as</w:t>
      </w:r>
    </w:p>
    <w:p w:rsidR="00841A2C" w:rsidRDefault="00841A2C" w:rsidP="00841A2C">
      <w:pPr>
        <w:ind w:left="1080"/>
        <w:rPr>
          <w:sz w:val="28"/>
        </w:rPr>
      </w:pPr>
      <w:r w:rsidRPr="00490E22">
        <w:rPr>
          <w:position w:val="-28"/>
          <w:sz w:val="28"/>
        </w:rPr>
        <w:object w:dxaOrig="3040" w:dyaOrig="680">
          <v:shape id="_x0000_i1036" type="#_x0000_t75" style="width:152.25pt;height:33.75pt" o:ole="">
            <v:imagedata r:id="rId35" o:title=""/>
          </v:shape>
          <o:OLEObject Type="Embed" ProgID="Equation.3" ShapeID="_x0000_i1036" DrawAspect="Content" ObjectID="_1411555180" r:id="rId36"/>
        </w:object>
      </w:r>
      <w:r>
        <w:rPr>
          <w:sz w:val="28"/>
        </w:rPr>
        <w:t xml:space="preserve">.                                                               </w:t>
      </w:r>
    </w:p>
    <w:p w:rsidR="00841A2C" w:rsidRDefault="00841A2C" w:rsidP="00E2635E">
      <w:pPr>
        <w:ind w:left="360" w:firstLine="360"/>
        <w:rPr>
          <w:b/>
          <w:sz w:val="28"/>
        </w:rPr>
      </w:pPr>
      <w:r>
        <w:rPr>
          <w:sz w:val="28"/>
        </w:rPr>
        <w:t xml:space="preserve">Comment on the symmetry of </w:t>
      </w:r>
      <w:r w:rsidRPr="00490E22">
        <w:rPr>
          <w:rFonts w:ascii="Monotype Corsiva" w:hAnsi="Monotype Corsiva"/>
          <w:sz w:val="28"/>
        </w:rPr>
        <w:t>M</w:t>
      </w:r>
      <w:r>
        <w:rPr>
          <w:sz w:val="28"/>
        </w:rPr>
        <w:t xml:space="preserve"> under </w:t>
      </w:r>
      <w:r w:rsidRPr="00490E22">
        <w:rPr>
          <w:i/>
          <w:sz w:val="28"/>
        </w:rPr>
        <w:t>s</w:t>
      </w:r>
      <w:r>
        <w:rPr>
          <w:i/>
          <w:sz w:val="28"/>
        </w:rPr>
        <w:t xml:space="preserve"> </w:t>
      </w:r>
      <w:r>
        <w:rPr>
          <w:sz w:val="28"/>
        </w:rPr>
        <w:t xml:space="preserve">↔ </w:t>
      </w:r>
      <w:r w:rsidRPr="00490E22">
        <w:rPr>
          <w:i/>
          <w:sz w:val="28"/>
        </w:rPr>
        <w:t>t</w:t>
      </w:r>
      <w:r>
        <w:rPr>
          <w:sz w:val="28"/>
        </w:rPr>
        <w:t>.</w:t>
      </w:r>
      <w:r>
        <w:rPr>
          <w:b/>
          <w:sz w:val="28"/>
        </w:rPr>
        <w:t xml:space="preserve"> </w:t>
      </w:r>
    </w:p>
    <w:p w:rsidR="00E2635E" w:rsidRDefault="00E2635E" w:rsidP="00E2635E">
      <w:pPr>
        <w:ind w:left="360" w:firstLine="360"/>
        <w:rPr>
          <w:b/>
          <w:sz w:val="28"/>
        </w:rPr>
      </w:pPr>
    </w:p>
    <w:p w:rsidR="006810C3" w:rsidRDefault="006810C3" w:rsidP="006810C3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In </w:t>
      </w:r>
      <w:r w:rsidRPr="0017355F">
        <w:rPr>
          <w:position w:val="-6"/>
          <w:sz w:val="28"/>
        </w:rPr>
        <w:object w:dxaOrig="1340" w:dyaOrig="320">
          <v:shape id="_x0000_i1037" type="#_x0000_t75" style="width:66.75pt;height:15.75pt" o:ole="">
            <v:imagedata r:id="rId37" o:title=""/>
          </v:shape>
          <o:OLEObject Type="Embed" ProgID="Equation.3" ShapeID="_x0000_i1037" DrawAspect="Content" ObjectID="_1411555181" r:id="rId38"/>
        </w:object>
      </w:r>
      <w:r>
        <w:rPr>
          <w:sz w:val="28"/>
        </w:rPr>
        <w:t xml:space="preserve"> near threshold, one can obviously not neglect the mass </w:t>
      </w:r>
    </w:p>
    <w:p w:rsidR="00B23EF7" w:rsidRDefault="006810C3" w:rsidP="003D51F7">
      <w:pPr>
        <w:ind w:left="720"/>
        <w:rPr>
          <w:sz w:val="28"/>
        </w:rPr>
      </w:pPr>
      <w:proofErr w:type="gramStart"/>
      <w:r>
        <w:rPr>
          <w:sz w:val="28"/>
        </w:rPr>
        <w:t>of</w:t>
      </w:r>
      <w:proofErr w:type="gramEnd"/>
      <w:r>
        <w:rPr>
          <w:sz w:val="28"/>
        </w:rPr>
        <w:t xml:space="preserve"> the </w:t>
      </w:r>
      <w:r w:rsidRPr="0017355F">
        <w:rPr>
          <w:position w:val="-6"/>
          <w:sz w:val="28"/>
        </w:rPr>
        <w:object w:dxaOrig="200" w:dyaOrig="220">
          <v:shape id="_x0000_i1038" type="#_x0000_t75" style="width:9.75pt;height:11.25pt" o:ole="">
            <v:imagedata r:id="rId39" o:title=""/>
          </v:shape>
          <o:OLEObject Type="Embed" ProgID="Equation.3" ShapeID="_x0000_i1038" DrawAspect="Content" ObjectID="_1411555182" r:id="rId40"/>
        </w:object>
      </w:r>
      <w:r>
        <w:rPr>
          <w:sz w:val="28"/>
        </w:rPr>
        <w:t xml:space="preserve">.  Working from </w:t>
      </w:r>
      <w:r w:rsidRPr="001E5DE3">
        <w:rPr>
          <w:position w:val="-32"/>
          <w:sz w:val="28"/>
        </w:rPr>
        <w:object w:dxaOrig="2240" w:dyaOrig="760">
          <v:shape id="_x0000_i1039" type="#_x0000_t75" style="width:111.75pt;height:38.25pt" o:ole="">
            <v:imagedata r:id="rId41" o:title=""/>
          </v:shape>
          <o:OLEObject Type="Embed" ProgID="Equation.3" ShapeID="_x0000_i1039" DrawAspect="Content" ObjectID="_1411555183" r:id="rId42"/>
        </w:object>
      </w:r>
      <w:r>
        <w:rPr>
          <w:sz w:val="28"/>
        </w:rPr>
        <w:t xml:space="preserve"> and the exact spin-averaged amplitude</w:t>
      </w:r>
    </w:p>
    <w:p w:rsidR="006810C3" w:rsidRDefault="006810C3" w:rsidP="006810C3">
      <w:pPr>
        <w:ind w:left="1080"/>
        <w:rPr>
          <w:sz w:val="28"/>
        </w:rPr>
      </w:pPr>
      <w:r>
        <w:rPr>
          <w:sz w:val="28"/>
        </w:rPr>
        <w:t xml:space="preserve"> </w:t>
      </w:r>
      <w:r w:rsidR="003D51F7" w:rsidRPr="003D51F7">
        <w:rPr>
          <w:position w:val="-86"/>
          <w:sz w:val="28"/>
        </w:rPr>
        <w:object w:dxaOrig="6680" w:dyaOrig="1840">
          <v:shape id="_x0000_i1040" type="#_x0000_t75" style="width:333.75pt;height:92.25pt" o:ole="">
            <v:imagedata r:id="rId43" o:title=""/>
          </v:shape>
          <o:OLEObject Type="Embed" ProgID="Equation.3" ShapeID="_x0000_i1040" DrawAspect="Content" ObjectID="_1411555184" r:id="rId44"/>
        </w:object>
      </w:r>
      <w:r>
        <w:rPr>
          <w:sz w:val="28"/>
        </w:rPr>
        <w:t xml:space="preserve">                                                                 </w:t>
      </w:r>
    </w:p>
    <w:p w:rsidR="006810C3" w:rsidRDefault="006810C3" w:rsidP="00C226D3">
      <w:pPr>
        <w:ind w:left="360" w:firstLine="360"/>
        <w:rPr>
          <w:sz w:val="28"/>
        </w:rPr>
      </w:pPr>
      <w:r>
        <w:rPr>
          <w:sz w:val="28"/>
        </w:rPr>
        <w:t xml:space="preserve">Show that the total cross-section for </w:t>
      </w:r>
      <w:r w:rsidRPr="0017355F">
        <w:rPr>
          <w:position w:val="-6"/>
          <w:sz w:val="28"/>
        </w:rPr>
        <w:object w:dxaOrig="200" w:dyaOrig="220">
          <v:shape id="_x0000_i1041" type="#_x0000_t75" style="width:9.75pt;height:11.25pt" o:ole="">
            <v:imagedata r:id="rId45" o:title=""/>
          </v:shape>
          <o:OLEObject Type="Embed" ProgID="Equation.3" ShapeID="_x0000_i1041" DrawAspect="Content" ObjectID="_1411555185" r:id="rId46"/>
        </w:object>
      </w:r>
      <w:r>
        <w:rPr>
          <w:sz w:val="28"/>
        </w:rPr>
        <w:t xml:space="preserve"> production is given by</w:t>
      </w:r>
    </w:p>
    <w:p w:rsidR="00C226D3" w:rsidRDefault="006810C3" w:rsidP="00C300C1">
      <w:pPr>
        <w:ind w:left="1080"/>
        <w:rPr>
          <w:sz w:val="28"/>
        </w:rPr>
      </w:pPr>
      <w:r w:rsidRPr="001E5DE3">
        <w:rPr>
          <w:position w:val="-32"/>
          <w:sz w:val="28"/>
        </w:rPr>
        <w:object w:dxaOrig="2100" w:dyaOrig="760">
          <v:shape id="_x0000_i1042" type="#_x0000_t75" style="width:105pt;height:38.25pt" o:ole="">
            <v:imagedata r:id="rId47" o:title=""/>
          </v:shape>
          <o:OLEObject Type="Embed" ProgID="Equation.3" ShapeID="_x0000_i1042" DrawAspect="Content" ObjectID="_1411555186" r:id="rId48"/>
        </w:object>
      </w:r>
      <w:r>
        <w:rPr>
          <w:sz w:val="28"/>
        </w:rPr>
        <w:t xml:space="preserve"> </w:t>
      </w:r>
      <w:proofErr w:type="gramStart"/>
      <w:r>
        <w:rPr>
          <w:sz w:val="28"/>
        </w:rPr>
        <w:t>where</w:t>
      </w:r>
      <w:proofErr w:type="gramEnd"/>
      <w:r w:rsidRPr="001E5DE3">
        <w:rPr>
          <w:position w:val="-24"/>
          <w:sz w:val="28"/>
        </w:rPr>
        <w:object w:dxaOrig="720" w:dyaOrig="620">
          <v:shape id="_x0000_i1043" type="#_x0000_t75" style="width:36pt;height:30.75pt" o:ole="">
            <v:imagedata r:id="rId49" o:title=""/>
          </v:shape>
          <o:OLEObject Type="Embed" ProgID="Equation.3" ShapeID="_x0000_i1043" DrawAspect="Content" ObjectID="_1411555187" r:id="rId50"/>
        </w:object>
      </w:r>
      <w:r>
        <w:rPr>
          <w:sz w:val="28"/>
        </w:rPr>
        <w:t>.</w:t>
      </w:r>
    </w:p>
    <w:p w:rsidR="00805C3D" w:rsidRDefault="00C300C1" w:rsidP="00805C3D">
      <w:pPr>
        <w:jc w:val="center"/>
        <w:rPr>
          <w:b/>
          <w:sz w:val="32"/>
        </w:rPr>
      </w:pPr>
      <w:r>
        <w:rPr>
          <w:b/>
          <w:sz w:val="32"/>
        </w:rPr>
        <w:pict>
          <v:shape id="_x0000_i1044" type="#_x0000_t75" style="width:431.7pt;height:1.35pt" o:hrpct="0" o:hralign="center" o:hr="t">
            <v:imagedata r:id="rId6" o:title="BD10219_"/>
          </v:shape>
        </w:pict>
      </w:r>
    </w:p>
    <w:p w:rsidR="00805C3D" w:rsidRDefault="00805C3D" w:rsidP="00805C3D">
      <w:pPr>
        <w:rPr>
          <w:b/>
          <w:sz w:val="32"/>
        </w:rPr>
      </w:pPr>
    </w:p>
    <w:p w:rsidR="00805C3D" w:rsidRPr="00D918CD" w:rsidRDefault="00805C3D" w:rsidP="00805C3D">
      <w:pPr>
        <w:rPr>
          <w:b/>
        </w:rPr>
      </w:pPr>
    </w:p>
    <w:sectPr w:rsidR="00805C3D" w:rsidRPr="00D918CD" w:rsidSect="00117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0783"/>
    <w:multiLevelType w:val="hybridMultilevel"/>
    <w:tmpl w:val="C2166852"/>
    <w:lvl w:ilvl="0" w:tplc="B608E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D476E"/>
    <w:multiLevelType w:val="hybridMultilevel"/>
    <w:tmpl w:val="9730A50E"/>
    <w:lvl w:ilvl="0" w:tplc="7D826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D1128"/>
    <w:multiLevelType w:val="multilevel"/>
    <w:tmpl w:val="256E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3F0807"/>
    <w:multiLevelType w:val="hybridMultilevel"/>
    <w:tmpl w:val="682AA54E"/>
    <w:lvl w:ilvl="0" w:tplc="B608E8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E4"/>
    <w:rsid w:val="000A65DF"/>
    <w:rsid w:val="00115A09"/>
    <w:rsid w:val="00117C46"/>
    <w:rsid w:val="00155292"/>
    <w:rsid w:val="0017355F"/>
    <w:rsid w:val="001B164F"/>
    <w:rsid w:val="001E0EF5"/>
    <w:rsid w:val="001E5DE3"/>
    <w:rsid w:val="002453FB"/>
    <w:rsid w:val="002B689C"/>
    <w:rsid w:val="003A107D"/>
    <w:rsid w:val="003A7ACF"/>
    <w:rsid w:val="003D51F7"/>
    <w:rsid w:val="004947FB"/>
    <w:rsid w:val="004F4491"/>
    <w:rsid w:val="00521C58"/>
    <w:rsid w:val="0059751C"/>
    <w:rsid w:val="00630650"/>
    <w:rsid w:val="006810C3"/>
    <w:rsid w:val="00805C3D"/>
    <w:rsid w:val="00841A2C"/>
    <w:rsid w:val="00864D24"/>
    <w:rsid w:val="00871BBE"/>
    <w:rsid w:val="00930F51"/>
    <w:rsid w:val="0099164C"/>
    <w:rsid w:val="00AC3D8D"/>
    <w:rsid w:val="00AF03F5"/>
    <w:rsid w:val="00AF62B8"/>
    <w:rsid w:val="00B23EF7"/>
    <w:rsid w:val="00BF5372"/>
    <w:rsid w:val="00C226D3"/>
    <w:rsid w:val="00C300C1"/>
    <w:rsid w:val="00C43698"/>
    <w:rsid w:val="00D918CD"/>
    <w:rsid w:val="00E2635E"/>
    <w:rsid w:val="00E75958"/>
    <w:rsid w:val="00EE4709"/>
    <w:rsid w:val="00F04B6B"/>
    <w:rsid w:val="00F555E4"/>
    <w:rsid w:val="00F672CC"/>
    <w:rsid w:val="00F6735F"/>
    <w:rsid w:val="00FA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10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10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 612</vt:lpstr>
    </vt:vector>
  </TitlesOfParts>
  <Company>The University of Mississippi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612</dc:title>
  <dc:creator>Breese Quinn</dc:creator>
  <cp:lastModifiedBy>Breese Quinn</cp:lastModifiedBy>
  <cp:revision>3</cp:revision>
  <cp:lastPrinted>2009-04-06T18:04:00Z</cp:lastPrinted>
  <dcterms:created xsi:type="dcterms:W3CDTF">2012-10-12T18:50:00Z</dcterms:created>
  <dcterms:modified xsi:type="dcterms:W3CDTF">2012-10-12T18:52:00Z</dcterms:modified>
</cp:coreProperties>
</file>