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24" w:rsidRDefault="002B689C" w:rsidP="00D918CD">
      <w:pPr>
        <w:jc w:val="center"/>
        <w:rPr>
          <w:b/>
          <w:sz w:val="32"/>
        </w:rPr>
      </w:pPr>
      <w:r>
        <w:rPr>
          <w:b/>
          <w:sz w:val="32"/>
        </w:rPr>
        <w:t>PHYS 63</w:t>
      </w:r>
      <w:r w:rsidR="00201EF2">
        <w:rPr>
          <w:b/>
          <w:sz w:val="32"/>
        </w:rPr>
        <w:t>3</w:t>
      </w:r>
      <w:r w:rsidR="00864D24">
        <w:rPr>
          <w:b/>
          <w:sz w:val="32"/>
        </w:rPr>
        <w:t xml:space="preserve">: </w:t>
      </w:r>
      <w:r w:rsidR="00201EF2">
        <w:rPr>
          <w:b/>
          <w:sz w:val="32"/>
        </w:rPr>
        <w:t xml:space="preserve">Elementary </w:t>
      </w:r>
      <w:r>
        <w:rPr>
          <w:b/>
          <w:sz w:val="32"/>
        </w:rPr>
        <w:t>Particle Physics</w:t>
      </w:r>
      <w:r w:rsidR="00864D24">
        <w:rPr>
          <w:b/>
          <w:sz w:val="32"/>
        </w:rPr>
        <w:t xml:space="preserve">        </w:t>
      </w:r>
      <w:r w:rsidR="00201EF2">
        <w:rPr>
          <w:b/>
          <w:sz w:val="32"/>
        </w:rPr>
        <w:t xml:space="preserve">          </w:t>
      </w:r>
      <w:r w:rsidR="00A4306D">
        <w:rPr>
          <w:b/>
          <w:sz w:val="32"/>
        </w:rPr>
        <w:t xml:space="preserve">     </w:t>
      </w:r>
      <w:bookmarkStart w:id="0" w:name="_GoBack"/>
      <w:bookmarkEnd w:id="0"/>
      <w:r w:rsidR="00201EF2">
        <w:rPr>
          <w:b/>
          <w:sz w:val="32"/>
        </w:rPr>
        <w:t xml:space="preserve"> </w:t>
      </w:r>
      <w:r w:rsidR="00A4306D">
        <w:rPr>
          <w:b/>
          <w:sz w:val="32"/>
        </w:rPr>
        <w:t>Fall</w:t>
      </w:r>
      <w:r w:rsidR="004C52DF">
        <w:rPr>
          <w:b/>
          <w:sz w:val="32"/>
        </w:rPr>
        <w:t xml:space="preserve"> 2012</w:t>
      </w:r>
      <w:r w:rsidR="00864D24">
        <w:rPr>
          <w:b/>
          <w:sz w:val="32"/>
        </w:rPr>
        <w:t xml:space="preserve">  </w:t>
      </w:r>
    </w:p>
    <w:p w:rsidR="00864D24" w:rsidRDefault="00864D24" w:rsidP="00D918CD">
      <w:pPr>
        <w:jc w:val="center"/>
        <w:rPr>
          <w:b/>
          <w:sz w:val="32"/>
        </w:rPr>
      </w:pPr>
    </w:p>
    <w:p w:rsidR="00D918CD" w:rsidRDefault="00115A09" w:rsidP="00D918CD">
      <w:pPr>
        <w:jc w:val="center"/>
        <w:rPr>
          <w:b/>
          <w:sz w:val="32"/>
        </w:rPr>
      </w:pPr>
      <w:r>
        <w:rPr>
          <w:b/>
          <w:sz w:val="32"/>
        </w:rPr>
        <w:t>Homework #1</w:t>
      </w:r>
      <w:r w:rsidR="00864D24">
        <w:rPr>
          <w:b/>
          <w:sz w:val="32"/>
        </w:rPr>
        <w:t xml:space="preserve">                                                </w:t>
      </w:r>
      <w:r w:rsidR="00C9331A">
        <w:rPr>
          <w:b/>
          <w:sz w:val="32"/>
        </w:rPr>
        <w:t xml:space="preserve">  </w:t>
      </w:r>
      <w:r w:rsidR="004C52DF">
        <w:rPr>
          <w:b/>
          <w:sz w:val="32"/>
        </w:rPr>
        <w:t xml:space="preserve">  </w:t>
      </w:r>
      <w:r w:rsidR="00864D24">
        <w:rPr>
          <w:b/>
          <w:sz w:val="32"/>
        </w:rPr>
        <w:t xml:space="preserve"> </w:t>
      </w:r>
      <w:r w:rsidR="004C52DF">
        <w:rPr>
          <w:b/>
          <w:sz w:val="32"/>
        </w:rPr>
        <w:t>Due Date: 8/30/12</w:t>
      </w:r>
    </w:p>
    <w:p w:rsidR="00D918CD" w:rsidRDefault="00A4306D" w:rsidP="00D918CD">
      <w:pPr>
        <w:jc w:val="center"/>
        <w:rPr>
          <w:b/>
          <w:sz w:val="32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35pt" o:hrpct="0" o:hralign="center" o:hr="t">
            <v:imagedata r:id="rId6" o:title="BD10219_"/>
          </v:shape>
        </w:pict>
      </w:r>
    </w:p>
    <w:p w:rsidR="00D918CD" w:rsidRDefault="00D918CD" w:rsidP="00D918CD">
      <w:pPr>
        <w:jc w:val="center"/>
        <w:rPr>
          <w:b/>
          <w:sz w:val="32"/>
        </w:rPr>
      </w:pPr>
    </w:p>
    <w:p w:rsidR="00D918CD" w:rsidRPr="0099164C" w:rsidRDefault="002B689C" w:rsidP="002B689C">
      <w:pPr>
        <w:numPr>
          <w:ilvl w:val="0"/>
          <w:numId w:val="3"/>
        </w:numPr>
        <w:rPr>
          <w:b/>
          <w:sz w:val="28"/>
        </w:rPr>
      </w:pPr>
      <w:r w:rsidRPr="0099164C">
        <w:rPr>
          <w:b/>
          <w:sz w:val="28"/>
        </w:rPr>
        <w:t>Problem 1.1</w:t>
      </w:r>
    </w:p>
    <w:p w:rsidR="00D918CD" w:rsidRDefault="00D918CD" w:rsidP="00D918CD">
      <w:pPr>
        <w:rPr>
          <w:b/>
          <w:sz w:val="32"/>
        </w:rPr>
      </w:pPr>
    </w:p>
    <w:p w:rsidR="001B0A69" w:rsidRDefault="0026316E" w:rsidP="001B0A6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The collision of two particles, each of mass M, is viewed in a Lorentz frame in which they hit head on with momenta equal in magnitude but opposite in direction.  We speak of this as the “center-of-mass” (CM) frame (though the name “center-of-momentum” would be more appropriate).  The total energy of the system is E</w:t>
      </w:r>
      <w:r>
        <w:rPr>
          <w:sz w:val="28"/>
          <w:vertAlign w:val="subscript"/>
        </w:rPr>
        <w:t>cm</w:t>
      </w:r>
      <w:r>
        <w:rPr>
          <w:sz w:val="28"/>
        </w:rPr>
        <w:t>.  Show that the Lorentz invariant</w:t>
      </w:r>
    </w:p>
    <w:p w:rsidR="0026316E" w:rsidRDefault="001B0A69" w:rsidP="001B0A69">
      <w:pPr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s≡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8"/>
                </w:rPr>
                <m:t>μ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μ</m:t>
              </m:r>
            </m:sup>
          </m:sSup>
          <m:r>
            <w:rPr>
              <w:rFonts w:ascii="Cambria Math" w:hAnsi="Cambria Math"/>
              <w:sz w:val="28"/>
            </w:rPr>
            <m:t>≡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</w:rPr>
                <m:t>cm</m:t>
              </m:r>
            </m:sub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</w:rPr>
            <m:t>.</m:t>
          </m:r>
        </m:oMath>
      </m:oMathPara>
    </w:p>
    <w:p w:rsidR="001B0A69" w:rsidRDefault="001B0A69" w:rsidP="001B0A69">
      <w:pPr>
        <w:ind w:left="720"/>
        <w:rPr>
          <w:sz w:val="28"/>
        </w:rPr>
      </w:pPr>
      <w:r>
        <w:rPr>
          <w:sz w:val="28"/>
        </w:rPr>
        <w:t xml:space="preserve">If the collision is viewed in the “laboratory” frame where one of the particles is at rest, then show, by evaluating the invariant </w:t>
      </w:r>
      <w:r>
        <w:rPr>
          <w:i/>
          <w:sz w:val="28"/>
        </w:rPr>
        <w:t>s</w:t>
      </w:r>
      <w:r>
        <w:rPr>
          <w:sz w:val="28"/>
        </w:rPr>
        <w:t>, that the other has energy</w:t>
      </w:r>
      <w:r w:rsidR="00C9331A">
        <w:rPr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lab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cm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</w:rPr>
              <m:t>2M</m:t>
            </m:r>
          </m:den>
        </m:f>
        <m:r>
          <w:rPr>
            <w:rFonts w:ascii="Cambria Math" w:hAnsi="Cambria Math"/>
            <w:sz w:val="28"/>
          </w:rPr>
          <m:t>-M.</m:t>
        </m:r>
      </m:oMath>
    </w:p>
    <w:p w:rsidR="001B0A69" w:rsidRPr="001B0A69" w:rsidRDefault="001B0A69" w:rsidP="001B0A69">
      <w:pPr>
        <w:ind w:left="720"/>
        <w:rPr>
          <w:sz w:val="28"/>
        </w:rPr>
      </w:pPr>
      <w:r>
        <w:rPr>
          <w:sz w:val="28"/>
        </w:rPr>
        <w:t xml:space="preserve">We can see from this result that colliding-beam accelerators have an enormous advantage over fixed-target accelerators in achieving a given total CM energy,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s</m:t>
            </m:r>
          </m:e>
        </m:rad>
        <m:r>
          <w:rPr>
            <w:rFonts w:ascii="Cambria Math" w:hAnsi="Cambria Math"/>
            <w:sz w:val="28"/>
          </w:rPr>
          <m:t>.</m:t>
        </m:r>
      </m:oMath>
      <w:r w:rsidR="00C9331A">
        <w:rPr>
          <w:sz w:val="28"/>
        </w:rPr>
        <w:t xml:space="preserve">  List some advantages of fixed-target accelerators.</w:t>
      </w:r>
    </w:p>
    <w:p w:rsidR="0026316E" w:rsidRDefault="0026316E" w:rsidP="0026316E">
      <w:pPr>
        <w:pStyle w:val="ListParagraph"/>
        <w:rPr>
          <w:sz w:val="28"/>
        </w:rPr>
      </w:pPr>
    </w:p>
    <w:p w:rsidR="0099164C" w:rsidRPr="0099164C" w:rsidRDefault="0099164C" w:rsidP="0099164C">
      <w:pPr>
        <w:numPr>
          <w:ilvl w:val="0"/>
          <w:numId w:val="3"/>
        </w:numPr>
        <w:rPr>
          <w:sz w:val="28"/>
        </w:rPr>
      </w:pPr>
      <w:r w:rsidRPr="0099164C">
        <w:rPr>
          <w:sz w:val="28"/>
        </w:rPr>
        <w:t xml:space="preserve">a) When a 100 GeV </w:t>
      </w:r>
      <w:r w:rsidRPr="0099164C">
        <w:rPr>
          <w:sz w:val="28"/>
        </w:rPr>
        <w:sym w:font="Symbol" w:char="F070"/>
      </w:r>
      <w:r w:rsidRPr="0099164C">
        <w:rPr>
          <w:sz w:val="28"/>
          <w:vertAlign w:val="superscript"/>
        </w:rPr>
        <w:t>+</w:t>
      </w:r>
      <w:r w:rsidRPr="0099164C">
        <w:rPr>
          <w:sz w:val="28"/>
        </w:rPr>
        <w:t xml:space="preserve"> decays to </w:t>
      </w:r>
      <w:r w:rsidRPr="0099164C">
        <w:rPr>
          <w:sz w:val="28"/>
        </w:rPr>
        <w:sym w:font="Symbol" w:char="F06D"/>
      </w:r>
      <w:r w:rsidRPr="0099164C">
        <w:rPr>
          <w:sz w:val="28"/>
          <w:vertAlign w:val="superscript"/>
        </w:rPr>
        <w:t>+</w:t>
      </w:r>
      <w:r w:rsidRPr="0099164C">
        <w:rPr>
          <w:sz w:val="28"/>
        </w:rPr>
        <w:t>ν, the energies in the lab system will depend on the decay angle in the CM system.  Find E</w:t>
      </w:r>
      <w:r w:rsidRPr="0099164C">
        <w:rPr>
          <w:sz w:val="28"/>
          <w:vertAlign w:val="subscript"/>
        </w:rPr>
        <w:t>ν</w:t>
      </w:r>
      <w:r w:rsidRPr="0099164C">
        <w:rPr>
          <w:sz w:val="28"/>
        </w:rPr>
        <w:t>(max) and E</w:t>
      </w:r>
      <w:r w:rsidRPr="0099164C">
        <w:rPr>
          <w:sz w:val="28"/>
          <w:vertAlign w:val="subscript"/>
        </w:rPr>
        <w:t>ν</w:t>
      </w:r>
      <w:r w:rsidRPr="0099164C">
        <w:rPr>
          <w:sz w:val="28"/>
        </w:rPr>
        <w:t xml:space="preserve">(min) in the lab.  Numerical values are required.                                                                                  b) Find the neutrino energy if the decay angle in the lab is 1 mrad (corresponding to the edge of a 2 m target at the end of a 1 km beam line).                                                                    </w:t>
      </w:r>
      <w:r>
        <w:rPr>
          <w:sz w:val="28"/>
        </w:rPr>
        <w:t xml:space="preserve">                                 </w:t>
      </w:r>
      <w:r w:rsidRPr="0099164C">
        <w:rPr>
          <w:sz w:val="28"/>
        </w:rPr>
        <w:t xml:space="preserve"> c) Repeat both a) and b) for the decay K</w:t>
      </w:r>
      <w:r w:rsidRPr="0099164C">
        <w:rPr>
          <w:sz w:val="28"/>
          <w:vertAlign w:val="superscript"/>
        </w:rPr>
        <w:t>+</w:t>
      </w:r>
      <w:r w:rsidRPr="0099164C">
        <w:rPr>
          <w:sz w:val="28"/>
        </w:rPr>
        <w:sym w:font="Symbol" w:char="F0AE"/>
      </w:r>
      <w:r w:rsidRPr="0099164C">
        <w:rPr>
          <w:sz w:val="28"/>
        </w:rPr>
        <w:sym w:font="Symbol" w:char="F06D"/>
      </w:r>
      <w:r w:rsidRPr="0099164C">
        <w:rPr>
          <w:sz w:val="28"/>
          <w:vertAlign w:val="superscript"/>
        </w:rPr>
        <w:t>+</w:t>
      </w:r>
      <w:r w:rsidRPr="0099164C">
        <w:rPr>
          <w:sz w:val="28"/>
        </w:rPr>
        <w:t>ν.</w:t>
      </w:r>
    </w:p>
    <w:p w:rsidR="00864D24" w:rsidRDefault="00864D24" w:rsidP="00F57AA7">
      <w:pPr>
        <w:rPr>
          <w:b/>
          <w:sz w:val="28"/>
        </w:rPr>
      </w:pPr>
    </w:p>
    <w:p w:rsidR="0026316E" w:rsidRDefault="0026316E" w:rsidP="0026316E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Problem 2.1</w:t>
      </w:r>
    </w:p>
    <w:p w:rsidR="0026316E" w:rsidRDefault="0026316E" w:rsidP="0026316E">
      <w:pPr>
        <w:ind w:left="360"/>
        <w:rPr>
          <w:b/>
          <w:sz w:val="28"/>
        </w:rPr>
      </w:pPr>
    </w:p>
    <w:p w:rsidR="0026316E" w:rsidRDefault="0026316E" w:rsidP="0026316E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Problem 2.4</w:t>
      </w:r>
    </w:p>
    <w:p w:rsidR="0026316E" w:rsidRDefault="0026316E" w:rsidP="0026316E">
      <w:pPr>
        <w:ind w:left="360"/>
        <w:rPr>
          <w:b/>
          <w:sz w:val="28"/>
        </w:rPr>
      </w:pPr>
    </w:p>
    <w:p w:rsidR="0026316E" w:rsidRDefault="0026316E" w:rsidP="0026316E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Problem 2.5</w:t>
      </w:r>
    </w:p>
    <w:p w:rsidR="0026316E" w:rsidRDefault="0026316E" w:rsidP="0026316E">
      <w:pPr>
        <w:ind w:left="360"/>
        <w:rPr>
          <w:b/>
          <w:sz w:val="28"/>
        </w:rPr>
      </w:pPr>
    </w:p>
    <w:p w:rsidR="00805C3D" w:rsidRPr="00C9331A" w:rsidRDefault="0099164C" w:rsidP="00805C3D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Problem 2.6</w:t>
      </w:r>
    </w:p>
    <w:p w:rsidR="00805C3D" w:rsidRPr="00D918CD" w:rsidRDefault="00805C3D" w:rsidP="00805C3D">
      <w:pPr>
        <w:rPr>
          <w:b/>
        </w:rPr>
      </w:pPr>
    </w:p>
    <w:sectPr w:rsidR="00805C3D" w:rsidRPr="00D918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783"/>
    <w:multiLevelType w:val="hybridMultilevel"/>
    <w:tmpl w:val="C2166852"/>
    <w:lvl w:ilvl="0" w:tplc="B608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D476E"/>
    <w:multiLevelType w:val="hybridMultilevel"/>
    <w:tmpl w:val="36248AF6"/>
    <w:lvl w:ilvl="0" w:tplc="7D82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D1128"/>
    <w:multiLevelType w:val="multilevel"/>
    <w:tmpl w:val="256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3F0807"/>
    <w:multiLevelType w:val="hybridMultilevel"/>
    <w:tmpl w:val="682AA54E"/>
    <w:lvl w:ilvl="0" w:tplc="B608E8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555E4"/>
    <w:rsid w:val="00106B81"/>
    <w:rsid w:val="00115A09"/>
    <w:rsid w:val="001B0A69"/>
    <w:rsid w:val="001B164F"/>
    <w:rsid w:val="00201EF2"/>
    <w:rsid w:val="0026316E"/>
    <w:rsid w:val="002B689C"/>
    <w:rsid w:val="004C52DF"/>
    <w:rsid w:val="004F4491"/>
    <w:rsid w:val="0051331D"/>
    <w:rsid w:val="00805C3D"/>
    <w:rsid w:val="00864D24"/>
    <w:rsid w:val="00930F51"/>
    <w:rsid w:val="0099164C"/>
    <w:rsid w:val="00A4306D"/>
    <w:rsid w:val="00AF62B8"/>
    <w:rsid w:val="00BF5372"/>
    <w:rsid w:val="00C9331A"/>
    <w:rsid w:val="00D918CD"/>
    <w:rsid w:val="00F04B6B"/>
    <w:rsid w:val="00F555E4"/>
    <w:rsid w:val="00F57AA7"/>
    <w:rsid w:val="00F672CC"/>
    <w:rsid w:val="00F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6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B0A69"/>
    <w:rPr>
      <w:color w:val="808080"/>
    </w:rPr>
  </w:style>
  <w:style w:type="paragraph" w:styleId="BalloonText">
    <w:name w:val="Balloon Text"/>
    <w:basedOn w:val="Normal"/>
    <w:link w:val="BalloonTextChar"/>
    <w:rsid w:val="001B0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612</vt:lpstr>
    </vt:vector>
  </TitlesOfParts>
  <Company>The University of Mississippi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612</dc:title>
  <dc:creator>Breese Quinn</dc:creator>
  <cp:lastModifiedBy>Breese Quinn</cp:lastModifiedBy>
  <cp:revision>6</cp:revision>
  <cp:lastPrinted>2012-08-19T05:39:00Z</cp:lastPrinted>
  <dcterms:created xsi:type="dcterms:W3CDTF">2009-01-21T06:35:00Z</dcterms:created>
  <dcterms:modified xsi:type="dcterms:W3CDTF">2012-08-19T05:50:00Z</dcterms:modified>
</cp:coreProperties>
</file>